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32" w:rsidRDefault="00506132" w:rsidP="00506132">
      <w:pPr>
        <w:rPr>
          <w:b/>
          <w:bCs/>
          <w:color w:val="632523"/>
          <w:sz w:val="28"/>
          <w:szCs w:val="28"/>
          <w:lang w:val="en-US"/>
        </w:rPr>
      </w:pPr>
      <w:bookmarkStart w:id="0" w:name="_GoBack"/>
      <w:bookmarkEnd w:id="0"/>
      <w:r>
        <w:rPr>
          <w:b/>
          <w:bCs/>
          <w:color w:val="632523"/>
          <w:sz w:val="28"/>
          <w:szCs w:val="28"/>
          <w:lang w:val="en-US"/>
        </w:rPr>
        <w:t>PRESS RELEASE</w:t>
      </w:r>
    </w:p>
    <w:p w:rsidR="00506132" w:rsidRDefault="00506132" w:rsidP="00506132">
      <w:pPr>
        <w:spacing w:after="120" w:line="276" w:lineRule="auto"/>
        <w:jc w:val="both"/>
        <w:rPr>
          <w:color w:val="000000"/>
          <w:lang w:val="en-US"/>
          <w14:cntxtAlts/>
        </w:rPr>
      </w:pPr>
      <w:r>
        <w:rPr>
          <w:noProof/>
          <w:lang w:val="bg-BG" w:eastAsia="bg-BG"/>
        </w:rPr>
        <w:drawing>
          <wp:anchor distT="36576" distB="36576" distL="36576" distR="36576" simplePos="0" relativeHeight="251659264" behindDoc="0" locked="0" layoutInCell="1" allowOverlap="1">
            <wp:simplePos x="0" y="0"/>
            <wp:positionH relativeFrom="column">
              <wp:posOffset>1489710</wp:posOffset>
            </wp:positionH>
            <wp:positionV relativeFrom="paragraph">
              <wp:posOffset>36195</wp:posOffset>
            </wp:positionV>
            <wp:extent cx="1197610" cy="1077595"/>
            <wp:effectExtent l="0" t="0" r="254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610" cy="1077595"/>
                    </a:xfrm>
                    <a:prstGeom prst="rect">
                      <a:avLst/>
                    </a:prstGeom>
                    <a:noFill/>
                  </pic:spPr>
                </pic:pic>
              </a:graphicData>
            </a:graphic>
            <wp14:sizeRelH relativeFrom="page">
              <wp14:pctWidth>0</wp14:pctWidth>
            </wp14:sizeRelH>
            <wp14:sizeRelV relativeFrom="page">
              <wp14:pctHeight>0</wp14:pctHeight>
            </wp14:sizeRelV>
          </wp:anchor>
        </w:drawing>
      </w:r>
    </w:p>
    <w:p w:rsidR="00506132" w:rsidRDefault="00506132" w:rsidP="00506132">
      <w:pPr>
        <w:rPr>
          <w:color w:val="632523"/>
          <w:sz w:val="24"/>
          <w:szCs w:val="24"/>
          <w:lang w:val="en-US"/>
        </w:rPr>
      </w:pPr>
      <w:r>
        <w:rPr>
          <w:color w:val="632523"/>
          <w:sz w:val="24"/>
          <w:szCs w:val="24"/>
          <w:lang w:val="en-US"/>
        </w:rPr>
        <w:t>Brussels, 01.07.2013</w:t>
      </w:r>
    </w:p>
    <w:p w:rsidR="00506132" w:rsidRDefault="00506132" w:rsidP="00506132">
      <w:pPr>
        <w:spacing w:after="120" w:line="276" w:lineRule="auto"/>
        <w:jc w:val="both"/>
        <w:rPr>
          <w:color w:val="000000"/>
          <w:lang w:val="en-US"/>
          <w14:cntxtAlts/>
        </w:rPr>
      </w:pPr>
    </w:p>
    <w:p w:rsidR="00506132" w:rsidRDefault="00506132" w:rsidP="00506132">
      <w:pPr>
        <w:spacing w:line="276" w:lineRule="auto"/>
        <w:jc w:val="both"/>
        <w:rPr>
          <w:color w:val="000000"/>
          <w:lang w:val="en-US"/>
          <w14:cntxtAlts/>
        </w:rPr>
      </w:pPr>
    </w:p>
    <w:p w:rsidR="00506132" w:rsidRDefault="00506132" w:rsidP="00506132">
      <w:pPr>
        <w:spacing w:line="276" w:lineRule="auto"/>
        <w:jc w:val="both"/>
        <w:rPr>
          <w:color w:val="000000"/>
          <w:lang w:val="en-US"/>
          <w14:cntxtAlts/>
        </w:rPr>
      </w:pPr>
    </w:p>
    <w:p w:rsidR="00506132" w:rsidRDefault="00506132" w:rsidP="00506132">
      <w:pPr>
        <w:spacing w:line="276" w:lineRule="auto"/>
        <w:jc w:val="both"/>
        <w:rPr>
          <w:color w:val="000000"/>
          <w:lang w:val="en-US"/>
          <w14:cntxtAlts/>
        </w:rPr>
      </w:pPr>
    </w:p>
    <w:p w:rsidR="00506132" w:rsidRDefault="00506132" w:rsidP="00506132">
      <w:pPr>
        <w:spacing w:after="120" w:line="276" w:lineRule="auto"/>
        <w:rPr>
          <w:color w:val="000000"/>
          <w:sz w:val="20"/>
          <w:szCs w:val="20"/>
          <w:lang w:val="en-US"/>
          <w14:cntxtAlts/>
        </w:rPr>
      </w:pPr>
      <w:r>
        <w:rPr>
          <w:b/>
          <w:bCs/>
          <w:color w:val="602826"/>
          <w:sz w:val="28"/>
          <w:szCs w:val="28"/>
          <w:lang w:val="en-US"/>
          <w14:cntxtAlts/>
        </w:rPr>
        <w:t>ESA’s patent database PINTO is now LIVE!</w:t>
      </w:r>
    </w:p>
    <w:p w:rsidR="00506132" w:rsidRDefault="00506132" w:rsidP="00506132">
      <w:pPr>
        <w:spacing w:line="276" w:lineRule="auto"/>
        <w:jc w:val="both"/>
        <w:rPr>
          <w:color w:val="000000"/>
          <w:lang w:val="en-US"/>
          <w14:cntxtAlts/>
        </w:rPr>
      </w:pPr>
      <w:r>
        <w:rPr>
          <w:color w:val="000000"/>
          <w:lang w:val="en-US"/>
          <w14:cntxtAlts/>
        </w:rPr>
        <w:t> </w:t>
      </w:r>
    </w:p>
    <w:p w:rsidR="00506132" w:rsidRDefault="00506132" w:rsidP="00506132">
      <w:pPr>
        <w:spacing w:line="276" w:lineRule="auto"/>
        <w:jc w:val="both"/>
        <w:rPr>
          <w:color w:val="000000"/>
          <w:lang w:val="en-US"/>
          <w14:cntxtAlts/>
        </w:rPr>
      </w:pPr>
      <w:r>
        <w:rPr>
          <w:color w:val="000000"/>
          <w:lang w:val="en-US"/>
          <w14:cntxtAlts/>
        </w:rPr>
        <w:t xml:space="preserve">To facilitate information of plant breeders by increasing transparency regarding the patent status of commercially available plant varieties, ESA European Seed Association has set up a specific database. </w:t>
      </w:r>
    </w:p>
    <w:p w:rsidR="00506132" w:rsidRDefault="00506132" w:rsidP="00506132">
      <w:pPr>
        <w:spacing w:line="276" w:lineRule="auto"/>
        <w:jc w:val="both"/>
        <w:rPr>
          <w:color w:val="000000"/>
          <w:lang w:val="en-US"/>
          <w14:cntxtAlts/>
        </w:rPr>
      </w:pPr>
      <w:r>
        <w:rPr>
          <w:color w:val="000000"/>
          <w:lang w:val="en-US"/>
          <w14:cntxtAlts/>
        </w:rPr>
        <w:t xml:space="preserve">Following a name contest on social media and other events, the new web-based tool now named </w:t>
      </w:r>
      <w:r>
        <w:rPr>
          <w:color w:val="00B0F0"/>
          <w:lang w:val="en-US"/>
          <w14:cntxtAlts/>
        </w:rPr>
        <w:t>PINTO</w:t>
      </w:r>
      <w:r>
        <w:rPr>
          <w:color w:val="000000"/>
          <w:lang w:val="en-US"/>
          <w14:cntxtAlts/>
        </w:rPr>
        <w:t xml:space="preserve"> (</w:t>
      </w:r>
      <w:r>
        <w:rPr>
          <w:b/>
          <w:bCs/>
          <w:color w:val="00B0F0"/>
          <w:lang w:val="en-US"/>
          <w14:cntxtAlts/>
        </w:rPr>
        <w:t>P</w:t>
      </w:r>
      <w:r>
        <w:rPr>
          <w:color w:val="000000"/>
          <w:lang w:val="en-US"/>
          <w14:cntxtAlts/>
        </w:rPr>
        <w:t xml:space="preserve">atent </w:t>
      </w:r>
      <w:proofErr w:type="spellStart"/>
      <w:r>
        <w:rPr>
          <w:b/>
          <w:bCs/>
          <w:color w:val="00B0F0"/>
          <w:lang w:val="en-US"/>
          <w14:cntxtAlts/>
        </w:rPr>
        <w:t>IN</w:t>
      </w:r>
      <w:r>
        <w:rPr>
          <w:color w:val="000000"/>
          <w:lang w:val="en-US"/>
          <w14:cntxtAlts/>
        </w:rPr>
        <w:t>formation</w:t>
      </w:r>
      <w:proofErr w:type="spellEnd"/>
      <w:r>
        <w:rPr>
          <w:color w:val="000000"/>
          <w:lang w:val="en-US"/>
          <w14:cntxtAlts/>
        </w:rPr>
        <w:t xml:space="preserve"> and </w:t>
      </w:r>
      <w:r>
        <w:rPr>
          <w:b/>
          <w:bCs/>
          <w:color w:val="00B0F0"/>
          <w:lang w:val="en-US"/>
          <w14:cntxtAlts/>
        </w:rPr>
        <w:t>T</w:t>
      </w:r>
      <w:r>
        <w:rPr>
          <w:color w:val="000000"/>
          <w:lang w:val="en-US"/>
          <w14:cntxtAlts/>
        </w:rPr>
        <w:t xml:space="preserve">ransparency </w:t>
      </w:r>
      <w:r>
        <w:rPr>
          <w:b/>
          <w:bCs/>
          <w:color w:val="00B0F0"/>
          <w:lang w:val="en-US"/>
          <w14:cntxtAlts/>
        </w:rPr>
        <w:t>O</w:t>
      </w:r>
      <w:r>
        <w:rPr>
          <w:color w:val="000000"/>
          <w:lang w:val="en-US"/>
          <w14:cntxtAlts/>
        </w:rPr>
        <w:t xml:space="preserve">nline), has gone live today! </w:t>
      </w:r>
    </w:p>
    <w:p w:rsidR="00506132" w:rsidRDefault="00506132" w:rsidP="00506132">
      <w:pPr>
        <w:spacing w:line="276" w:lineRule="auto"/>
        <w:jc w:val="both"/>
        <w:rPr>
          <w:color w:val="000000"/>
          <w:lang w:val="en-US"/>
          <w14:cntxtAlts/>
        </w:rPr>
      </w:pPr>
      <w:r>
        <w:rPr>
          <w:color w:val="000000"/>
          <w:lang w:val="en-US"/>
          <w14:cntxtAlts/>
        </w:rPr>
        <w:t> </w:t>
      </w:r>
    </w:p>
    <w:p w:rsidR="00506132" w:rsidRDefault="00506132" w:rsidP="00506132">
      <w:pPr>
        <w:spacing w:line="276" w:lineRule="auto"/>
        <w:jc w:val="both"/>
        <w:rPr>
          <w:color w:val="000000"/>
          <w:lang w:val="en-US"/>
          <w14:cntxtAlts/>
        </w:rPr>
      </w:pPr>
      <w:r>
        <w:rPr>
          <w:color w:val="000000"/>
          <w:lang w:val="en-US"/>
          <w14:cntxtAlts/>
        </w:rPr>
        <w:t>The unique feature of PINTO is the link it establishes between a plant variety and patent(s) relating to these varieties. This should provide a useful assistance to breeders to make a more informed choice when selecting specific varieties for a</w:t>
      </w:r>
      <w:proofErr w:type="gramStart"/>
      <w:r>
        <w:rPr>
          <w:color w:val="000000"/>
          <w:lang w:val="en-US"/>
          <w14:cntxtAlts/>
        </w:rPr>
        <w:t>  new</w:t>
      </w:r>
      <w:proofErr w:type="gramEnd"/>
      <w:r>
        <w:rPr>
          <w:color w:val="000000"/>
          <w:lang w:val="en-US"/>
          <w14:cntxtAlts/>
        </w:rPr>
        <w:t xml:space="preserve"> breeding </w:t>
      </w:r>
      <w:proofErr w:type="spellStart"/>
      <w:r>
        <w:rPr>
          <w:color w:val="000000"/>
          <w:lang w:val="en-US"/>
          <w14:cntxtAlts/>
        </w:rPr>
        <w:t>programme</w:t>
      </w:r>
      <w:proofErr w:type="spellEnd"/>
      <w:r>
        <w:rPr>
          <w:color w:val="000000"/>
          <w:lang w:val="en-US"/>
          <w14:cntxtAlts/>
        </w:rPr>
        <w:t xml:space="preserve">. Next to the breeders’ themselves, PINTO can be a valuable tool also for farmers, growers, public authorities or other interested parties. </w:t>
      </w:r>
    </w:p>
    <w:p w:rsidR="00506132" w:rsidRDefault="00506132" w:rsidP="00506132">
      <w:pPr>
        <w:spacing w:line="276" w:lineRule="auto"/>
        <w:jc w:val="both"/>
        <w:rPr>
          <w:color w:val="000000"/>
          <w:lang w:val="en-US"/>
          <w14:cntxtAlts/>
        </w:rPr>
      </w:pPr>
      <w:r>
        <w:rPr>
          <w:color w:val="000000"/>
          <w:lang w:val="en-US"/>
          <w14:cntxtAlts/>
        </w:rPr>
        <w:t> </w:t>
      </w:r>
    </w:p>
    <w:p w:rsidR="00506132" w:rsidRDefault="00506132" w:rsidP="00506132">
      <w:pPr>
        <w:spacing w:line="276" w:lineRule="auto"/>
        <w:jc w:val="both"/>
        <w:rPr>
          <w:color w:val="000000"/>
          <w:lang w:val="en-US"/>
          <w14:cntxtAlts/>
        </w:rPr>
      </w:pPr>
      <w:r>
        <w:rPr>
          <w:color w:val="000000"/>
          <w:lang w:val="en-US"/>
          <w14:cntxtAlts/>
        </w:rPr>
        <w:t xml:space="preserve">PINTO is a publicly accessible site for all interested parties and can be accessed from the ESA website </w:t>
      </w:r>
      <w:hyperlink r:id="rId6" w:history="1">
        <w:r>
          <w:rPr>
            <w:rStyle w:val="Hyperlink"/>
            <w:lang w:val="en-US"/>
            <w14:cntxtAlts/>
          </w:rPr>
          <w:t>http://www.euroseeds.org/patent-database</w:t>
        </w:r>
      </w:hyperlink>
      <w:r>
        <w:rPr>
          <w:color w:val="000000"/>
          <w:lang w:val="en-US"/>
          <w14:cntxtAlts/>
        </w:rPr>
        <w:t xml:space="preserve">. </w:t>
      </w:r>
    </w:p>
    <w:p w:rsidR="00506132" w:rsidRDefault="00506132" w:rsidP="00506132">
      <w:pPr>
        <w:spacing w:line="276" w:lineRule="auto"/>
        <w:jc w:val="both"/>
        <w:rPr>
          <w:color w:val="000000"/>
          <w:lang w:val="en-US"/>
          <w14:cntxtAlts/>
        </w:rPr>
      </w:pPr>
      <w:r>
        <w:rPr>
          <w:color w:val="000000"/>
          <w:lang w:val="en-US"/>
          <w14:cntxtAlts/>
        </w:rPr>
        <w:t xml:space="preserve">Users can simply sign up and create their personal account on the site. They then can access the search tool function that allows </w:t>
      </w:r>
      <w:proofErr w:type="gramStart"/>
      <w:r>
        <w:rPr>
          <w:color w:val="000000"/>
          <w:lang w:val="en-US"/>
          <w14:cntxtAlts/>
        </w:rPr>
        <w:t>to browse</w:t>
      </w:r>
      <w:proofErr w:type="gramEnd"/>
      <w:r>
        <w:rPr>
          <w:color w:val="000000"/>
          <w:lang w:val="en-US"/>
          <w14:cntxtAlts/>
        </w:rPr>
        <w:t xml:space="preserve"> through the content of the database with the help of a number of search criteria, such as variety denomination, species, patent holder, patent number or specific keywords. Besides these key functions, many other tools are included to make PINTO as user-friendly as possible. More information on these tools as well as on general background is available in ESA’s specifically designed flyer “More Transparency to Help Breeders” (</w:t>
      </w:r>
      <w:hyperlink r:id="rId7" w:history="1">
        <w:r>
          <w:rPr>
            <w:rStyle w:val="Hyperlink"/>
            <w:lang w:val="en-US"/>
            <w14:cntxtAlts/>
          </w:rPr>
          <w:t>http://www.euroseeds.org/ESA_13.0530.pdf</w:t>
        </w:r>
      </w:hyperlink>
      <w:r>
        <w:rPr>
          <w:color w:val="000000"/>
          <w:lang w:val="en-US"/>
          <w14:cntxtAlts/>
        </w:rPr>
        <w:t>) which can be downloaded for free as well.</w:t>
      </w:r>
    </w:p>
    <w:p w:rsidR="00506132" w:rsidRDefault="00506132" w:rsidP="00506132">
      <w:pPr>
        <w:spacing w:line="276" w:lineRule="auto"/>
        <w:jc w:val="both"/>
        <w:rPr>
          <w:color w:val="000000"/>
          <w:lang w:val="en-US"/>
          <w14:cntxtAlts/>
        </w:rPr>
      </w:pPr>
      <w:r>
        <w:rPr>
          <w:color w:val="000000"/>
          <w:lang w:val="en-US"/>
          <w14:cntxtAlts/>
        </w:rPr>
        <w:t> </w:t>
      </w:r>
    </w:p>
    <w:p w:rsidR="00506132" w:rsidRDefault="00506132" w:rsidP="00506132">
      <w:pPr>
        <w:spacing w:line="276" w:lineRule="auto"/>
        <w:jc w:val="both"/>
        <w:rPr>
          <w:color w:val="000000"/>
          <w:lang w:val="en-US"/>
          <w14:cntxtAlts/>
        </w:rPr>
      </w:pPr>
      <w:r>
        <w:rPr>
          <w:color w:val="000000"/>
          <w:lang w:val="en-US"/>
          <w14:cntxtAlts/>
        </w:rPr>
        <w:t xml:space="preserve">In its starting phase, PINTO will focus on varieties commercialized in the EU and in EFTA countries. But as varieties from all over the world may be used in breeding </w:t>
      </w:r>
      <w:proofErr w:type="spellStart"/>
      <w:r>
        <w:rPr>
          <w:color w:val="000000"/>
          <w:lang w:val="en-US"/>
          <w14:cntxtAlts/>
        </w:rPr>
        <w:t>programmes</w:t>
      </w:r>
      <w:proofErr w:type="spellEnd"/>
      <w:r>
        <w:rPr>
          <w:color w:val="000000"/>
          <w:lang w:val="en-US"/>
          <w14:cntxtAlts/>
        </w:rPr>
        <w:t>, the long-term goal is to widen the scope and also cover other countries and continents. In addition to patents already granted, published patent applications are also included in PINTO. The information regarding the varieties included</w:t>
      </w:r>
      <w:proofErr w:type="gramStart"/>
      <w:r>
        <w:rPr>
          <w:color w:val="000000"/>
          <w:lang w:val="en-US"/>
          <w14:cntxtAlts/>
        </w:rPr>
        <w:t>  in</w:t>
      </w:r>
      <w:proofErr w:type="gramEnd"/>
      <w:r>
        <w:rPr>
          <w:color w:val="000000"/>
          <w:lang w:val="en-US"/>
          <w14:cntxtAlts/>
        </w:rPr>
        <w:t xml:space="preserve"> PINTO are provided to ESA on a voluntary basis by the companies </w:t>
      </w:r>
      <w:proofErr w:type="spellStart"/>
      <w:r>
        <w:rPr>
          <w:color w:val="000000"/>
          <w:lang w:val="en-US"/>
          <w14:cntxtAlts/>
        </w:rPr>
        <w:t>commercialising</w:t>
      </w:r>
      <w:proofErr w:type="spellEnd"/>
      <w:r>
        <w:rPr>
          <w:color w:val="000000"/>
          <w:lang w:val="en-US"/>
          <w14:cntxtAlts/>
        </w:rPr>
        <w:t xml:space="preserve"> them.</w:t>
      </w:r>
    </w:p>
    <w:p w:rsidR="00506132" w:rsidRDefault="00506132" w:rsidP="00506132">
      <w:pPr>
        <w:spacing w:line="276" w:lineRule="auto"/>
        <w:jc w:val="both"/>
        <w:rPr>
          <w:color w:val="000000"/>
          <w:lang w:val="en-US"/>
          <w14:cntxtAlts/>
        </w:rPr>
      </w:pPr>
      <w:r>
        <w:rPr>
          <w:color w:val="000000"/>
          <w:lang w:val="en-US"/>
          <w14:cntxtAlts/>
        </w:rPr>
        <w:t> </w:t>
      </w:r>
    </w:p>
    <w:p w:rsidR="00506132" w:rsidRDefault="00506132" w:rsidP="00506132">
      <w:pPr>
        <w:spacing w:line="276" w:lineRule="auto"/>
        <w:jc w:val="both"/>
        <w:rPr>
          <w:color w:val="000000"/>
          <w:lang w:val="en-US"/>
          <w14:cntxtAlts/>
        </w:rPr>
      </w:pPr>
      <w:r>
        <w:rPr>
          <w:color w:val="000000"/>
          <w:lang w:val="en-US"/>
          <w14:cntxtAlts/>
        </w:rPr>
        <w:t>“The PINTO database is an important element in the overall implementation of ESA’s policy and position on intellectual property rights for plants and seed.</w:t>
      </w:r>
      <w:proofErr w:type="gramStart"/>
      <w:r>
        <w:rPr>
          <w:color w:val="000000"/>
          <w:lang w:val="en-US"/>
          <w14:cntxtAlts/>
        </w:rPr>
        <w:t>”,</w:t>
      </w:r>
      <w:proofErr w:type="gramEnd"/>
      <w:r>
        <w:rPr>
          <w:color w:val="000000"/>
          <w:lang w:val="en-US"/>
          <w14:cntxtAlts/>
        </w:rPr>
        <w:t xml:space="preserve"> </w:t>
      </w:r>
      <w:proofErr w:type="spellStart"/>
      <w:r>
        <w:rPr>
          <w:color w:val="000000"/>
          <w:lang w:val="en-US"/>
          <w14:cntxtAlts/>
        </w:rPr>
        <w:t>Garlich</w:t>
      </w:r>
      <w:proofErr w:type="spellEnd"/>
      <w:r>
        <w:rPr>
          <w:color w:val="000000"/>
          <w:lang w:val="en-US"/>
          <w14:cntxtAlts/>
        </w:rPr>
        <w:t xml:space="preserve"> von Essen, Secretary General of ESA points out. “We believe that it is crucial that uncertainty or lack of transparency do not discourage the use of material and potentially reduce innovation. PINTO is an additional tool to help breeders making their choice when selecting material for breeding </w:t>
      </w:r>
      <w:proofErr w:type="spellStart"/>
      <w:r>
        <w:rPr>
          <w:color w:val="000000"/>
          <w:lang w:val="en-US"/>
          <w14:cntxtAlts/>
        </w:rPr>
        <w:t>programmes</w:t>
      </w:r>
      <w:proofErr w:type="spellEnd"/>
      <w:r>
        <w:rPr>
          <w:color w:val="000000"/>
          <w:lang w:val="en-US"/>
          <w14:cntxtAlts/>
        </w:rPr>
        <w:t xml:space="preserve"> to bring ever new and better varieties to the market and consumers.”</w:t>
      </w:r>
    </w:p>
    <w:p w:rsidR="00506132" w:rsidRDefault="00506132" w:rsidP="00506132">
      <w:pPr>
        <w:spacing w:line="276" w:lineRule="auto"/>
        <w:jc w:val="both"/>
        <w:rPr>
          <w:color w:val="000000"/>
          <w:lang w:val="en-US"/>
          <w14:cntxtAlts/>
        </w:rPr>
      </w:pPr>
      <w:r>
        <w:rPr>
          <w:color w:val="000000"/>
          <w:lang w:val="en-US"/>
          <w14:cntxtAlts/>
        </w:rPr>
        <w:t> </w:t>
      </w:r>
    </w:p>
    <w:p w:rsidR="00506132" w:rsidRDefault="00506132" w:rsidP="00506132">
      <w:pPr>
        <w:spacing w:after="120" w:line="276" w:lineRule="auto"/>
        <w:jc w:val="both"/>
        <w:rPr>
          <w:color w:val="000000"/>
          <w:lang w:val="en-US"/>
          <w14:cntxtAlts/>
        </w:rPr>
      </w:pPr>
      <w:r>
        <w:rPr>
          <w:color w:val="000000"/>
          <w:lang w:val="en-US"/>
          <w14:cntxtAlts/>
        </w:rPr>
        <w:lastRenderedPageBreak/>
        <w:t>ENDS</w:t>
      </w:r>
    </w:p>
    <w:p w:rsidR="00506132" w:rsidRDefault="00506132" w:rsidP="00506132">
      <w:pPr>
        <w:spacing w:after="120" w:line="276" w:lineRule="auto"/>
        <w:rPr>
          <w:color w:val="000000"/>
          <w:sz w:val="20"/>
          <w:szCs w:val="20"/>
          <w:lang w:val="en-US"/>
          <w14:cntxtAlts/>
        </w:rPr>
      </w:pPr>
    </w:p>
    <w:p w:rsidR="00506132" w:rsidRDefault="00506132" w:rsidP="00506132">
      <w:pPr>
        <w:rPr>
          <w:lang w:val="en-US"/>
        </w:rPr>
      </w:pPr>
    </w:p>
    <w:tbl>
      <w:tblPr>
        <w:tblW w:w="9450" w:type="dxa"/>
        <w:tblCellSpacing w:w="22" w:type="dxa"/>
        <w:tblCellMar>
          <w:left w:w="0" w:type="dxa"/>
          <w:right w:w="0" w:type="dxa"/>
        </w:tblCellMar>
        <w:tblLook w:val="04A0" w:firstRow="1" w:lastRow="0" w:firstColumn="1" w:lastColumn="0" w:noHBand="0" w:noVBand="1"/>
      </w:tblPr>
      <w:tblGrid>
        <w:gridCol w:w="2946"/>
        <w:gridCol w:w="2734"/>
        <w:gridCol w:w="3770"/>
      </w:tblGrid>
      <w:tr w:rsidR="00506132" w:rsidTr="00506132">
        <w:trPr>
          <w:tblCellSpacing w:w="22" w:type="dxa"/>
        </w:trPr>
        <w:tc>
          <w:tcPr>
            <w:tcW w:w="2880" w:type="dxa"/>
            <w:vMerge w:val="restart"/>
            <w:vAlign w:val="center"/>
            <w:hideMark/>
          </w:tcPr>
          <w:p w:rsidR="00506132" w:rsidRDefault="00506132">
            <w:pPr>
              <w:jc w:val="center"/>
              <w:rPr>
                <w:rFonts w:ascii="Verdana" w:hAnsi="Verdana"/>
                <w:sz w:val="20"/>
                <w:szCs w:val="20"/>
              </w:rPr>
            </w:pPr>
            <w:r>
              <w:rPr>
                <w:rFonts w:ascii="Verdana" w:hAnsi="Verdana"/>
                <w:noProof/>
                <w:sz w:val="20"/>
                <w:szCs w:val="20"/>
                <w:lang w:val="bg-BG" w:eastAsia="bg-BG"/>
              </w:rPr>
              <w:drawing>
                <wp:inline distT="0" distB="0" distL="0" distR="0" wp14:anchorId="54B4725B" wp14:editId="2993F210">
                  <wp:extent cx="1828800" cy="1409700"/>
                  <wp:effectExtent l="0" t="0" r="0" b="0"/>
                  <wp:docPr id="2" name="Afbeelding 2" descr="ESA European Seed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 European Seed Associati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tc>
        <w:tc>
          <w:tcPr>
            <w:tcW w:w="0" w:type="auto"/>
            <w:noWrap/>
            <w:vAlign w:val="center"/>
            <w:hideMark/>
          </w:tcPr>
          <w:p w:rsidR="00506132" w:rsidRDefault="00506132">
            <w:pPr>
              <w:jc w:val="center"/>
              <w:rPr>
                <w:rFonts w:ascii="Verdana" w:hAnsi="Verdana"/>
                <w:b/>
                <w:bCs/>
                <w:color w:val="83B81A"/>
                <w:sz w:val="24"/>
                <w:szCs w:val="24"/>
              </w:rPr>
            </w:pPr>
            <w:r>
              <w:rPr>
                <w:rFonts w:ascii="Verdana" w:hAnsi="Verdana"/>
                <w:b/>
                <w:bCs/>
                <w:color w:val="83B81A"/>
                <w:sz w:val="24"/>
                <w:szCs w:val="24"/>
              </w:rPr>
              <w:t>Katharina BEDNARZ</w:t>
            </w:r>
          </w:p>
        </w:tc>
        <w:tc>
          <w:tcPr>
            <w:tcW w:w="4605" w:type="dxa"/>
            <w:vMerge w:val="restart"/>
            <w:vAlign w:val="center"/>
            <w:hideMark/>
          </w:tcPr>
          <w:p w:rsidR="00506132" w:rsidRDefault="00506132">
            <w:pPr>
              <w:jc w:val="center"/>
              <w:rPr>
                <w:rFonts w:ascii="Verdana" w:hAnsi="Verdana"/>
                <w:sz w:val="20"/>
                <w:szCs w:val="20"/>
              </w:rPr>
            </w:pPr>
          </w:p>
        </w:tc>
      </w:tr>
      <w:tr w:rsidR="00506132" w:rsidTr="00506132">
        <w:trPr>
          <w:trHeight w:val="90"/>
          <w:tblCellSpacing w:w="22" w:type="dxa"/>
        </w:trPr>
        <w:tc>
          <w:tcPr>
            <w:tcW w:w="0" w:type="auto"/>
            <w:vMerge/>
            <w:vAlign w:val="center"/>
            <w:hideMark/>
          </w:tcPr>
          <w:p w:rsidR="00506132" w:rsidRDefault="00506132">
            <w:pPr>
              <w:rPr>
                <w:rFonts w:ascii="Verdana" w:hAnsi="Verdana"/>
                <w:sz w:val="20"/>
                <w:szCs w:val="20"/>
              </w:rPr>
            </w:pPr>
          </w:p>
        </w:tc>
        <w:tc>
          <w:tcPr>
            <w:tcW w:w="0" w:type="auto"/>
            <w:noWrap/>
            <w:vAlign w:val="center"/>
            <w:hideMark/>
          </w:tcPr>
          <w:p w:rsidR="00506132" w:rsidRDefault="00506132">
            <w:pPr>
              <w:spacing w:line="90" w:lineRule="atLeast"/>
              <w:jc w:val="center"/>
              <w:rPr>
                <w:rFonts w:ascii="Verdana" w:hAnsi="Verdana"/>
                <w:sz w:val="20"/>
                <w:szCs w:val="20"/>
              </w:rPr>
            </w:pPr>
            <w:r>
              <w:rPr>
                <w:rFonts w:ascii="Verdana" w:hAnsi="Verdana"/>
                <w:sz w:val="20"/>
                <w:szCs w:val="20"/>
              </w:rPr>
              <w:t>Manager Communication</w:t>
            </w:r>
          </w:p>
        </w:tc>
        <w:tc>
          <w:tcPr>
            <w:tcW w:w="0" w:type="auto"/>
            <w:vMerge/>
            <w:vAlign w:val="center"/>
            <w:hideMark/>
          </w:tcPr>
          <w:p w:rsidR="00506132" w:rsidRDefault="00506132">
            <w:pPr>
              <w:rPr>
                <w:rFonts w:ascii="Verdana" w:hAnsi="Verdana"/>
                <w:sz w:val="20"/>
                <w:szCs w:val="20"/>
              </w:rPr>
            </w:pPr>
          </w:p>
        </w:tc>
      </w:tr>
      <w:tr w:rsidR="00506132" w:rsidTr="00506132">
        <w:trPr>
          <w:trHeight w:val="90"/>
          <w:tblCellSpacing w:w="22" w:type="dxa"/>
        </w:trPr>
        <w:tc>
          <w:tcPr>
            <w:tcW w:w="0" w:type="auto"/>
            <w:vMerge/>
            <w:vAlign w:val="center"/>
            <w:hideMark/>
          </w:tcPr>
          <w:p w:rsidR="00506132" w:rsidRDefault="00506132">
            <w:pPr>
              <w:rPr>
                <w:rFonts w:ascii="Verdana" w:hAnsi="Verdana"/>
                <w:sz w:val="20"/>
                <w:szCs w:val="20"/>
              </w:rPr>
            </w:pPr>
          </w:p>
        </w:tc>
        <w:tc>
          <w:tcPr>
            <w:tcW w:w="0" w:type="auto"/>
            <w:vAlign w:val="center"/>
            <w:hideMark/>
          </w:tcPr>
          <w:p w:rsidR="00506132" w:rsidRDefault="00506132">
            <w:pPr>
              <w:rPr>
                <w:rFonts w:ascii="Times New Roman" w:eastAsia="Times New Roman" w:hAnsi="Times New Roman" w:cs="Times New Roman"/>
                <w:sz w:val="20"/>
                <w:szCs w:val="20"/>
              </w:rPr>
            </w:pPr>
          </w:p>
        </w:tc>
        <w:tc>
          <w:tcPr>
            <w:tcW w:w="0" w:type="auto"/>
            <w:vMerge/>
            <w:vAlign w:val="center"/>
            <w:hideMark/>
          </w:tcPr>
          <w:p w:rsidR="00506132" w:rsidRDefault="00506132">
            <w:pPr>
              <w:rPr>
                <w:rFonts w:ascii="Verdana" w:hAnsi="Verdana"/>
                <w:sz w:val="20"/>
                <w:szCs w:val="20"/>
              </w:rPr>
            </w:pPr>
          </w:p>
        </w:tc>
      </w:tr>
      <w:tr w:rsidR="00506132" w:rsidTr="00506132">
        <w:trPr>
          <w:trHeight w:val="90"/>
          <w:tblCellSpacing w:w="22" w:type="dxa"/>
        </w:trPr>
        <w:tc>
          <w:tcPr>
            <w:tcW w:w="0" w:type="auto"/>
            <w:vMerge/>
            <w:vAlign w:val="center"/>
            <w:hideMark/>
          </w:tcPr>
          <w:p w:rsidR="00506132" w:rsidRDefault="00506132">
            <w:pPr>
              <w:rPr>
                <w:rFonts w:ascii="Verdana" w:hAnsi="Verdana"/>
                <w:sz w:val="20"/>
                <w:szCs w:val="20"/>
              </w:rPr>
            </w:pPr>
          </w:p>
        </w:tc>
        <w:tc>
          <w:tcPr>
            <w:tcW w:w="0" w:type="auto"/>
            <w:noWrap/>
            <w:vAlign w:val="center"/>
            <w:hideMark/>
          </w:tcPr>
          <w:p w:rsidR="00506132" w:rsidRDefault="00506132">
            <w:pPr>
              <w:spacing w:line="90" w:lineRule="atLeast"/>
              <w:jc w:val="center"/>
              <w:rPr>
                <w:rFonts w:ascii="Verdana" w:hAnsi="Verdana"/>
                <w:sz w:val="20"/>
                <w:szCs w:val="20"/>
              </w:rPr>
            </w:pPr>
            <w:r>
              <w:rPr>
                <w:rFonts w:ascii="Verdana" w:hAnsi="Verdana"/>
                <w:sz w:val="20"/>
                <w:szCs w:val="20"/>
              </w:rPr>
              <w:t xml:space="preserve">23, Rue </w:t>
            </w:r>
            <w:r>
              <w:rPr>
                <w:rFonts w:ascii="Verdana" w:hAnsi="Verdana"/>
                <w:color w:val="000000"/>
                <w:sz w:val="20"/>
                <w:szCs w:val="20"/>
              </w:rPr>
              <w:t>du Luxembourg</w:t>
            </w:r>
          </w:p>
        </w:tc>
        <w:tc>
          <w:tcPr>
            <w:tcW w:w="0" w:type="auto"/>
            <w:vMerge/>
            <w:vAlign w:val="center"/>
            <w:hideMark/>
          </w:tcPr>
          <w:p w:rsidR="00506132" w:rsidRDefault="00506132">
            <w:pPr>
              <w:rPr>
                <w:rFonts w:ascii="Verdana" w:hAnsi="Verdana"/>
                <w:sz w:val="20"/>
                <w:szCs w:val="20"/>
              </w:rPr>
            </w:pPr>
          </w:p>
        </w:tc>
      </w:tr>
      <w:tr w:rsidR="00506132" w:rsidTr="00506132">
        <w:trPr>
          <w:trHeight w:val="90"/>
          <w:tblCellSpacing w:w="22" w:type="dxa"/>
        </w:trPr>
        <w:tc>
          <w:tcPr>
            <w:tcW w:w="0" w:type="auto"/>
            <w:vMerge/>
            <w:vAlign w:val="center"/>
            <w:hideMark/>
          </w:tcPr>
          <w:p w:rsidR="00506132" w:rsidRDefault="00506132">
            <w:pPr>
              <w:rPr>
                <w:rFonts w:ascii="Verdana" w:hAnsi="Verdana"/>
                <w:sz w:val="20"/>
                <w:szCs w:val="20"/>
              </w:rPr>
            </w:pPr>
          </w:p>
        </w:tc>
        <w:tc>
          <w:tcPr>
            <w:tcW w:w="0" w:type="auto"/>
            <w:noWrap/>
            <w:vAlign w:val="center"/>
            <w:hideMark/>
          </w:tcPr>
          <w:p w:rsidR="00506132" w:rsidRDefault="00506132">
            <w:pPr>
              <w:spacing w:line="90" w:lineRule="atLeast"/>
              <w:jc w:val="center"/>
              <w:rPr>
                <w:rFonts w:ascii="Verdana" w:hAnsi="Verdana"/>
                <w:sz w:val="20"/>
                <w:szCs w:val="20"/>
              </w:rPr>
            </w:pPr>
            <w:r>
              <w:rPr>
                <w:rFonts w:ascii="Verdana" w:hAnsi="Verdana"/>
                <w:sz w:val="20"/>
                <w:szCs w:val="20"/>
              </w:rPr>
              <w:t>1000 Brussels, Belgium</w:t>
            </w:r>
          </w:p>
        </w:tc>
        <w:tc>
          <w:tcPr>
            <w:tcW w:w="0" w:type="auto"/>
            <w:vMerge/>
            <w:vAlign w:val="center"/>
            <w:hideMark/>
          </w:tcPr>
          <w:p w:rsidR="00506132" w:rsidRDefault="00506132">
            <w:pPr>
              <w:rPr>
                <w:rFonts w:ascii="Verdana" w:hAnsi="Verdana"/>
                <w:sz w:val="20"/>
                <w:szCs w:val="20"/>
              </w:rPr>
            </w:pPr>
          </w:p>
        </w:tc>
      </w:tr>
      <w:tr w:rsidR="00506132" w:rsidTr="00506132">
        <w:trPr>
          <w:trHeight w:val="90"/>
          <w:tblCellSpacing w:w="22" w:type="dxa"/>
        </w:trPr>
        <w:tc>
          <w:tcPr>
            <w:tcW w:w="0" w:type="auto"/>
            <w:vMerge/>
            <w:vAlign w:val="center"/>
            <w:hideMark/>
          </w:tcPr>
          <w:p w:rsidR="00506132" w:rsidRDefault="00506132">
            <w:pPr>
              <w:rPr>
                <w:rFonts w:ascii="Verdana" w:hAnsi="Verdana"/>
                <w:sz w:val="20"/>
                <w:szCs w:val="20"/>
              </w:rPr>
            </w:pPr>
          </w:p>
        </w:tc>
        <w:tc>
          <w:tcPr>
            <w:tcW w:w="0" w:type="auto"/>
            <w:noWrap/>
            <w:vAlign w:val="center"/>
            <w:hideMark/>
          </w:tcPr>
          <w:p w:rsidR="00506132" w:rsidRDefault="00506132">
            <w:pPr>
              <w:spacing w:line="90" w:lineRule="atLeast"/>
              <w:jc w:val="center"/>
              <w:rPr>
                <w:rFonts w:ascii="Verdana" w:hAnsi="Verdana"/>
                <w:sz w:val="20"/>
                <w:szCs w:val="20"/>
              </w:rPr>
            </w:pPr>
            <w:r>
              <w:rPr>
                <w:rFonts w:ascii="Verdana" w:hAnsi="Verdana"/>
                <w:sz w:val="20"/>
                <w:szCs w:val="20"/>
              </w:rPr>
              <w:t>Phone : +32 2 743 28 60</w:t>
            </w:r>
          </w:p>
        </w:tc>
        <w:tc>
          <w:tcPr>
            <w:tcW w:w="0" w:type="auto"/>
            <w:vMerge/>
            <w:vAlign w:val="center"/>
            <w:hideMark/>
          </w:tcPr>
          <w:p w:rsidR="00506132" w:rsidRDefault="00506132">
            <w:pPr>
              <w:rPr>
                <w:rFonts w:ascii="Verdana" w:hAnsi="Verdana"/>
                <w:sz w:val="20"/>
                <w:szCs w:val="20"/>
              </w:rPr>
            </w:pPr>
          </w:p>
        </w:tc>
      </w:tr>
    </w:tbl>
    <w:p w:rsidR="00146CEF" w:rsidRDefault="00146CEF"/>
    <w:sectPr w:rsidR="00146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32"/>
    <w:rsid w:val="00146CEF"/>
    <w:rsid w:val="002F183E"/>
    <w:rsid w:val="00506132"/>
    <w:rsid w:val="00A06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32"/>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132"/>
    <w:rPr>
      <w:color w:val="0000FF"/>
      <w:u w:val="single"/>
    </w:rPr>
  </w:style>
  <w:style w:type="paragraph" w:styleId="BalloonText">
    <w:name w:val="Balloon Text"/>
    <w:basedOn w:val="Normal"/>
    <w:link w:val="BalloonTextChar"/>
    <w:uiPriority w:val="99"/>
    <w:semiHidden/>
    <w:unhideWhenUsed/>
    <w:rsid w:val="00506132"/>
    <w:rPr>
      <w:rFonts w:ascii="Tahoma" w:hAnsi="Tahoma" w:cs="Tahoma"/>
      <w:sz w:val="16"/>
      <w:szCs w:val="16"/>
    </w:rPr>
  </w:style>
  <w:style w:type="character" w:customStyle="1" w:styleId="BalloonTextChar">
    <w:name w:val="Balloon Text Char"/>
    <w:basedOn w:val="DefaultParagraphFont"/>
    <w:link w:val="BalloonText"/>
    <w:uiPriority w:val="99"/>
    <w:semiHidden/>
    <w:rsid w:val="00506132"/>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32"/>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132"/>
    <w:rPr>
      <w:color w:val="0000FF"/>
      <w:u w:val="single"/>
    </w:rPr>
  </w:style>
  <w:style w:type="paragraph" w:styleId="BalloonText">
    <w:name w:val="Balloon Text"/>
    <w:basedOn w:val="Normal"/>
    <w:link w:val="BalloonTextChar"/>
    <w:uiPriority w:val="99"/>
    <w:semiHidden/>
    <w:unhideWhenUsed/>
    <w:rsid w:val="00506132"/>
    <w:rPr>
      <w:rFonts w:ascii="Tahoma" w:hAnsi="Tahoma" w:cs="Tahoma"/>
      <w:sz w:val="16"/>
      <w:szCs w:val="16"/>
    </w:rPr>
  </w:style>
  <w:style w:type="character" w:customStyle="1" w:styleId="BalloonTextChar">
    <w:name w:val="Balloon Text Char"/>
    <w:basedOn w:val="DefaultParagraphFont"/>
    <w:link w:val="BalloonText"/>
    <w:uiPriority w:val="99"/>
    <w:semiHidden/>
    <w:rsid w:val="00506132"/>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uroseeds.org/ESA_13.053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seeds.org/patent-databa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CE7368.8318D9C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4</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Admin</cp:lastModifiedBy>
  <cp:revision>2</cp:revision>
  <dcterms:created xsi:type="dcterms:W3CDTF">2015-04-27T14:32:00Z</dcterms:created>
  <dcterms:modified xsi:type="dcterms:W3CDTF">2015-04-27T14:32:00Z</dcterms:modified>
</cp:coreProperties>
</file>